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8553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  <w:lang w:eastAsia="en-GB"/>
        </w:rPr>
      </w:pPr>
      <w:r w:rsidRPr="00F275CB">
        <w:rPr>
          <w:rFonts w:ascii="Arial-BoldMT" w:hAnsi="Arial-BoldMT" w:cs="Arial-BoldMT"/>
          <w:b/>
          <w:bCs/>
          <w:sz w:val="30"/>
          <w:szCs w:val="28"/>
          <w:lang w:eastAsia="en-GB"/>
        </w:rPr>
        <w:t>Elderbridge Ltd</w:t>
      </w:r>
    </w:p>
    <w:p w14:paraId="7C7ABE81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0"/>
          <w:szCs w:val="28"/>
          <w:lang w:eastAsia="en-GB"/>
        </w:rPr>
      </w:pPr>
      <w:r w:rsidRPr="00F275CB">
        <w:rPr>
          <w:rFonts w:ascii="Arial-BoldMT" w:hAnsi="Arial-BoldMT" w:cs="Arial-BoldMT"/>
          <w:b/>
          <w:bCs/>
          <w:sz w:val="30"/>
          <w:szCs w:val="28"/>
          <w:lang w:eastAsia="en-GB"/>
        </w:rPr>
        <w:t>Complaint Reporting</w:t>
      </w:r>
    </w:p>
    <w:p w14:paraId="0BEB56A6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lang w:eastAsia="en-GB"/>
        </w:rPr>
      </w:pPr>
    </w:p>
    <w:p w14:paraId="5E67D47A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 xml:space="preserve">We aim to resolve all complaints as quickly as possible. We welcome any feedback from </w:t>
      </w:r>
      <w:proofErr w:type="gramStart"/>
      <w:r w:rsidRPr="00F275CB">
        <w:rPr>
          <w:rFonts w:ascii="ArialMT" w:hAnsi="ArialMT" w:cs="ArialMT"/>
          <w:szCs w:val="20"/>
          <w:lang w:eastAsia="en-GB"/>
        </w:rPr>
        <w:t>our</w:t>
      </w:r>
      <w:proofErr w:type="gramEnd"/>
    </w:p>
    <w:p w14:paraId="504F32A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customers and are happy to address any concerns raised. We seek to use complaints data to</w:t>
      </w:r>
      <w:r>
        <w:rPr>
          <w:rFonts w:ascii="ArialMT" w:hAnsi="ArialMT" w:cs="ArialMT"/>
          <w:szCs w:val="20"/>
          <w:lang w:eastAsia="en-GB"/>
        </w:rPr>
        <w:t xml:space="preserve"> </w:t>
      </w:r>
      <w:r w:rsidRPr="00F275CB">
        <w:rPr>
          <w:rFonts w:ascii="ArialMT" w:hAnsi="ArialMT" w:cs="ArialMT"/>
          <w:szCs w:val="20"/>
          <w:lang w:eastAsia="en-GB"/>
        </w:rPr>
        <w:t>improve our quality of service, provide insight into what is important to our customers and to help avoid future mistakes.</w:t>
      </w:r>
    </w:p>
    <w:p w14:paraId="0957CEF9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14:paraId="08ABDBCF" w14:textId="77777777" w:rsid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eastAsia="en-GB"/>
        </w:rPr>
      </w:pPr>
    </w:p>
    <w:p w14:paraId="441C5443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>Complaints Publication Report</w:t>
      </w:r>
    </w:p>
    <w:p w14:paraId="0DD973C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Cs w:val="20"/>
          <w:lang w:eastAsia="en-GB"/>
        </w:rPr>
      </w:pPr>
    </w:p>
    <w:p w14:paraId="6A3C0A56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Firm Name: </w:t>
      </w:r>
      <w:r w:rsidRPr="00F275CB">
        <w:rPr>
          <w:rFonts w:ascii="ArialMT" w:hAnsi="ArialMT" w:cs="ArialMT"/>
          <w:szCs w:val="20"/>
          <w:lang w:eastAsia="en-GB"/>
        </w:rPr>
        <w:t>Elderbridge Ltd</w:t>
      </w:r>
    </w:p>
    <w:p w14:paraId="1C656C0C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Other firms included in this report: </w:t>
      </w:r>
      <w:r w:rsidRPr="00F275CB">
        <w:rPr>
          <w:rFonts w:ascii="ArialMT" w:hAnsi="ArialMT" w:cs="ArialMT"/>
          <w:szCs w:val="20"/>
          <w:lang w:eastAsia="en-GB"/>
        </w:rPr>
        <w:t>None</w:t>
      </w:r>
    </w:p>
    <w:p w14:paraId="79EEC3ED" w14:textId="2DE42435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Period Covered in this report: </w:t>
      </w:r>
      <w:r w:rsidR="00025CCB">
        <w:rPr>
          <w:rFonts w:ascii="ArialMT" w:hAnsi="ArialMT" w:cs="ArialMT"/>
          <w:szCs w:val="20"/>
          <w:lang w:eastAsia="en-GB"/>
        </w:rPr>
        <w:t>1 October</w:t>
      </w:r>
      <w:r w:rsidR="00235A9F">
        <w:rPr>
          <w:rFonts w:ascii="ArialMT" w:hAnsi="ArialMT" w:cs="ArialMT"/>
          <w:szCs w:val="20"/>
          <w:lang w:eastAsia="en-GB"/>
        </w:rPr>
        <w:t xml:space="preserve"> 201</w:t>
      </w:r>
      <w:r w:rsidR="00CB5268">
        <w:rPr>
          <w:rFonts w:ascii="ArialMT" w:hAnsi="ArialMT" w:cs="ArialMT"/>
          <w:szCs w:val="20"/>
          <w:lang w:eastAsia="en-GB"/>
        </w:rPr>
        <w:t>9</w:t>
      </w:r>
      <w:r w:rsidR="00235A9F">
        <w:rPr>
          <w:rFonts w:ascii="ArialMT" w:hAnsi="ArialMT" w:cs="ArialMT"/>
          <w:szCs w:val="20"/>
          <w:lang w:eastAsia="en-GB"/>
        </w:rPr>
        <w:t xml:space="preserve"> – 3</w:t>
      </w:r>
      <w:r w:rsidR="00025CCB">
        <w:rPr>
          <w:rFonts w:ascii="ArialMT" w:hAnsi="ArialMT" w:cs="ArialMT"/>
          <w:szCs w:val="20"/>
          <w:lang w:eastAsia="en-GB"/>
        </w:rPr>
        <w:t>1</w:t>
      </w:r>
      <w:r w:rsidR="00025CCB">
        <w:rPr>
          <w:rFonts w:ascii="ArialMT" w:hAnsi="ArialMT" w:cs="ArialMT"/>
          <w:szCs w:val="20"/>
          <w:vertAlign w:val="superscript"/>
          <w:lang w:eastAsia="en-GB"/>
        </w:rPr>
        <w:t>st</w:t>
      </w:r>
      <w:r w:rsidR="00235A9F">
        <w:rPr>
          <w:rFonts w:ascii="ArialMT" w:hAnsi="ArialMT" w:cs="ArialMT"/>
          <w:szCs w:val="20"/>
          <w:lang w:eastAsia="en-GB"/>
        </w:rPr>
        <w:t xml:space="preserve"> </w:t>
      </w:r>
      <w:r w:rsidR="00025CCB">
        <w:rPr>
          <w:rFonts w:ascii="ArialMT" w:hAnsi="ArialMT" w:cs="ArialMT"/>
          <w:szCs w:val="20"/>
          <w:lang w:eastAsia="en-GB"/>
        </w:rPr>
        <w:t>March</w:t>
      </w:r>
      <w:r w:rsidR="00235A9F">
        <w:rPr>
          <w:rFonts w:ascii="ArialMT" w:hAnsi="ArialMT" w:cs="ArialMT"/>
          <w:szCs w:val="20"/>
          <w:lang w:eastAsia="en-GB"/>
        </w:rPr>
        <w:t xml:space="preserve"> 20</w:t>
      </w:r>
      <w:r w:rsidR="00CB5268">
        <w:rPr>
          <w:rFonts w:ascii="ArialMT" w:hAnsi="ArialMT" w:cs="ArialMT"/>
          <w:szCs w:val="20"/>
          <w:lang w:eastAsia="en-GB"/>
        </w:rPr>
        <w:t>20</w:t>
      </w:r>
    </w:p>
    <w:p w14:paraId="57DF4472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  <w:r w:rsidRPr="00F275CB">
        <w:rPr>
          <w:rFonts w:ascii="Arial-BoldMT" w:hAnsi="Arial-BoldMT" w:cs="Arial-BoldMT"/>
          <w:b/>
          <w:bCs/>
          <w:szCs w:val="20"/>
          <w:lang w:eastAsia="en-GB"/>
        </w:rPr>
        <w:t xml:space="preserve">Brands/Trading Names covered: </w:t>
      </w:r>
      <w:r w:rsidRPr="00F275CB">
        <w:rPr>
          <w:rFonts w:ascii="ArialMT" w:hAnsi="ArialMT" w:cs="ArialMT"/>
          <w:szCs w:val="20"/>
          <w:lang w:eastAsia="en-GB"/>
        </w:rPr>
        <w:t>None</w:t>
      </w:r>
    </w:p>
    <w:p w14:paraId="2B51B23E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p w14:paraId="782FAC6B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tbl>
      <w:tblPr>
        <w:tblW w:w="5324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85" w:type="dxa"/>
          <w:bottom w:w="57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1134"/>
        <w:gridCol w:w="1134"/>
        <w:gridCol w:w="984"/>
        <w:gridCol w:w="1126"/>
        <w:gridCol w:w="1126"/>
        <w:gridCol w:w="1688"/>
      </w:tblGrid>
      <w:tr w:rsidR="00F275CB" w:rsidRPr="00F275CB" w14:paraId="6FDB29B8" w14:textId="77777777" w:rsidTr="000176F1">
        <w:trPr>
          <w:tblCellSpacing w:w="0" w:type="dxa"/>
        </w:trPr>
        <w:tc>
          <w:tcPr>
            <w:tcW w:w="1126" w:type="dxa"/>
            <w:shd w:val="clear" w:color="auto" w:fill="C2D69B"/>
            <w:vAlign w:val="center"/>
            <w:hideMark/>
          </w:tcPr>
          <w:p w14:paraId="57F6720A" w14:textId="77777777" w:rsidR="00F275CB" w:rsidRPr="00F275CB" w:rsidRDefault="00F275CB" w:rsidP="00F275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shd w:val="clear" w:color="auto" w:fill="C2D69B"/>
            <w:vAlign w:val="center"/>
            <w:hideMark/>
          </w:tcPr>
          <w:p w14:paraId="2481DC80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Provision (at end of reporting end date)</w:t>
            </w: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14:paraId="24F4DF70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Number of complaints opened</w:t>
            </w:r>
          </w:p>
        </w:tc>
        <w:tc>
          <w:tcPr>
            <w:tcW w:w="1134" w:type="dxa"/>
            <w:shd w:val="clear" w:color="auto" w:fill="C2D69B"/>
            <w:vAlign w:val="center"/>
            <w:hideMark/>
          </w:tcPr>
          <w:p w14:paraId="612C835C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Number of complaints closed</w:t>
            </w:r>
          </w:p>
        </w:tc>
        <w:tc>
          <w:tcPr>
            <w:tcW w:w="984" w:type="dxa"/>
            <w:shd w:val="clear" w:color="auto" w:fill="C2D69B"/>
            <w:vAlign w:val="center"/>
            <w:hideMark/>
          </w:tcPr>
          <w:p w14:paraId="03B838B1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Closed within 3 days (%)</w:t>
            </w:r>
          </w:p>
        </w:tc>
        <w:tc>
          <w:tcPr>
            <w:tcW w:w="1126" w:type="dxa"/>
            <w:shd w:val="clear" w:color="auto" w:fill="C2D69B"/>
            <w:vAlign w:val="center"/>
            <w:hideMark/>
          </w:tcPr>
          <w:p w14:paraId="4D6390BA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Closed After 3 Days but within 8 weeks (%)</w:t>
            </w:r>
          </w:p>
        </w:tc>
        <w:tc>
          <w:tcPr>
            <w:tcW w:w="1126" w:type="dxa"/>
            <w:shd w:val="clear" w:color="auto" w:fill="C2D69B"/>
            <w:vAlign w:val="center"/>
            <w:hideMark/>
          </w:tcPr>
          <w:p w14:paraId="7FB412C6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Upheld (%)</w:t>
            </w:r>
          </w:p>
        </w:tc>
        <w:tc>
          <w:tcPr>
            <w:tcW w:w="1688" w:type="dxa"/>
            <w:shd w:val="clear" w:color="auto" w:fill="C2D69B"/>
            <w:vAlign w:val="center"/>
            <w:hideMark/>
          </w:tcPr>
          <w:p w14:paraId="3A4122A7" w14:textId="77777777" w:rsidR="00F275CB" w:rsidRPr="00F275CB" w:rsidRDefault="00F275CB" w:rsidP="00F275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</w:pPr>
            <w:r w:rsidRPr="00F275CB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en-GB"/>
              </w:rPr>
              <w:t>Main Cause of Complaints opened</w:t>
            </w:r>
          </w:p>
        </w:tc>
      </w:tr>
      <w:tr w:rsidR="00025CCB" w:rsidRPr="00F275CB" w14:paraId="03C98583" w14:textId="77777777" w:rsidTr="000176F1">
        <w:trPr>
          <w:tblCellSpacing w:w="0" w:type="dxa"/>
        </w:trPr>
        <w:tc>
          <w:tcPr>
            <w:tcW w:w="1126" w:type="dxa"/>
            <w:vAlign w:val="center"/>
            <w:hideMark/>
          </w:tcPr>
          <w:p w14:paraId="45DC7BDE" w14:textId="77777777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Home Finance</w:t>
            </w:r>
          </w:p>
        </w:tc>
        <w:tc>
          <w:tcPr>
            <w:tcW w:w="1276" w:type="dxa"/>
            <w:vAlign w:val="center"/>
            <w:hideMark/>
          </w:tcPr>
          <w:p w14:paraId="3688CF96" w14:textId="266E0194" w:rsidR="00025CCB" w:rsidRPr="00E67599" w:rsidRDefault="006E77EA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19.78</w:t>
            </w:r>
            <w:r w:rsidR="00025CCB"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 xml:space="preserve"> complaints per 1,000 customer accounts under servicing management</w:t>
            </w:r>
          </w:p>
        </w:tc>
        <w:tc>
          <w:tcPr>
            <w:tcW w:w="1134" w:type="dxa"/>
            <w:vAlign w:val="center"/>
            <w:hideMark/>
          </w:tcPr>
          <w:p w14:paraId="39908276" w14:textId="7B9BC8F4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9</w:t>
            </w:r>
            <w:r w:rsidR="00A82222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74</w:t>
            </w:r>
          </w:p>
        </w:tc>
        <w:tc>
          <w:tcPr>
            <w:tcW w:w="1134" w:type="dxa"/>
            <w:vAlign w:val="center"/>
            <w:hideMark/>
          </w:tcPr>
          <w:p w14:paraId="77E9C1F4" w14:textId="598AEE35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8</w:t>
            </w:r>
            <w:r w:rsidR="00A82222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87</w:t>
            </w:r>
          </w:p>
        </w:tc>
        <w:tc>
          <w:tcPr>
            <w:tcW w:w="984" w:type="dxa"/>
            <w:vAlign w:val="center"/>
            <w:hideMark/>
          </w:tcPr>
          <w:p w14:paraId="5DC2ACB8" w14:textId="70D1C8DA" w:rsidR="00025CCB" w:rsidRPr="00000268" w:rsidRDefault="00A82222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6.54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  <w:hideMark/>
          </w:tcPr>
          <w:p w14:paraId="1068EB15" w14:textId="2C565ABD" w:rsidR="00025CCB" w:rsidRPr="00000268" w:rsidRDefault="00A82222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65.38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126" w:type="dxa"/>
            <w:vAlign w:val="center"/>
            <w:hideMark/>
          </w:tcPr>
          <w:p w14:paraId="240F4F1C" w14:textId="59E0B103" w:rsidR="00025CCB" w:rsidRPr="00F275CB" w:rsidRDefault="00CB5268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46.</w:t>
            </w:r>
            <w:r w:rsidR="00A82222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56</w:t>
            </w:r>
            <w:r w:rsidR="00025C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688" w:type="dxa"/>
            <w:vAlign w:val="center"/>
            <w:hideMark/>
          </w:tcPr>
          <w:p w14:paraId="7A5AADC6" w14:textId="77777777" w:rsidR="00025CCB" w:rsidRPr="00E67599" w:rsidRDefault="00025CCB" w:rsidP="00025CC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General Admin/Customer Service</w:t>
            </w:r>
          </w:p>
        </w:tc>
      </w:tr>
      <w:tr w:rsidR="00903B44" w:rsidRPr="00F275CB" w14:paraId="220C2F11" w14:textId="77777777" w:rsidTr="000176F1">
        <w:trPr>
          <w:tblCellSpacing w:w="0" w:type="dxa"/>
        </w:trPr>
        <w:tc>
          <w:tcPr>
            <w:tcW w:w="1126" w:type="dxa"/>
            <w:vAlign w:val="center"/>
          </w:tcPr>
          <w:p w14:paraId="402152B4" w14:textId="77777777" w:rsidR="00903B44" w:rsidRDefault="00903B44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Credit Related</w:t>
            </w:r>
          </w:p>
        </w:tc>
        <w:tc>
          <w:tcPr>
            <w:tcW w:w="1276" w:type="dxa"/>
            <w:vAlign w:val="center"/>
          </w:tcPr>
          <w:p w14:paraId="596E9E0D" w14:textId="3BD0C2F1" w:rsidR="00903B44" w:rsidRPr="00F275CB" w:rsidRDefault="00631F10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23.65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 xml:space="preserve"> </w:t>
            </w:r>
            <w:r w:rsidR="00903B44" w:rsidRPr="00F275CB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complaints per 1,000 customer accounts under servicing management</w:t>
            </w:r>
          </w:p>
        </w:tc>
        <w:tc>
          <w:tcPr>
            <w:tcW w:w="1134" w:type="dxa"/>
            <w:vAlign w:val="center"/>
          </w:tcPr>
          <w:p w14:paraId="03B250B0" w14:textId="6A9B5EDE" w:rsidR="00903B44" w:rsidRPr="00F275CB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60</w:t>
            </w:r>
          </w:p>
        </w:tc>
        <w:tc>
          <w:tcPr>
            <w:tcW w:w="1134" w:type="dxa"/>
            <w:vAlign w:val="center"/>
          </w:tcPr>
          <w:p w14:paraId="6ACE1BFE" w14:textId="365C7EB5" w:rsidR="00903B44" w:rsidRPr="00F275CB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48</w:t>
            </w:r>
          </w:p>
        </w:tc>
        <w:tc>
          <w:tcPr>
            <w:tcW w:w="984" w:type="dxa"/>
            <w:vAlign w:val="center"/>
          </w:tcPr>
          <w:p w14:paraId="0014D7FD" w14:textId="77838C64" w:rsidR="00903B44" w:rsidRPr="00000268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12.5%</w:t>
            </w:r>
          </w:p>
        </w:tc>
        <w:tc>
          <w:tcPr>
            <w:tcW w:w="1126" w:type="dxa"/>
            <w:vAlign w:val="center"/>
          </w:tcPr>
          <w:p w14:paraId="3AAEAA00" w14:textId="23DF580F" w:rsidR="00903B44" w:rsidRPr="00000268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58.33%</w:t>
            </w:r>
          </w:p>
        </w:tc>
        <w:tc>
          <w:tcPr>
            <w:tcW w:w="1126" w:type="dxa"/>
            <w:vAlign w:val="center"/>
          </w:tcPr>
          <w:p w14:paraId="59BC9878" w14:textId="33FA34F1" w:rsidR="00903B44" w:rsidRPr="00F275CB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29.16</w:t>
            </w:r>
            <w:r w:rsidR="00903B44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%</w:t>
            </w:r>
          </w:p>
        </w:tc>
        <w:tc>
          <w:tcPr>
            <w:tcW w:w="1688" w:type="dxa"/>
            <w:vAlign w:val="center"/>
          </w:tcPr>
          <w:p w14:paraId="33320C3C" w14:textId="2D1AF8C9" w:rsidR="00903B44" w:rsidRPr="00F275CB" w:rsidRDefault="00A82222" w:rsidP="00903B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</w:pPr>
            <w:r w:rsidRPr="00E67599">
              <w:rPr>
                <w:rFonts w:ascii="Arial" w:eastAsia="Times New Roman" w:hAnsi="Arial" w:cs="Arial"/>
                <w:b/>
                <w:sz w:val="18"/>
                <w:szCs w:val="24"/>
                <w:lang w:eastAsia="en-GB"/>
              </w:rPr>
              <w:t>General Admin/Customer Service</w:t>
            </w:r>
          </w:p>
        </w:tc>
      </w:tr>
    </w:tbl>
    <w:p w14:paraId="48766DC6" w14:textId="77777777" w:rsidR="00F275CB" w:rsidRDefault="00F275CB" w:rsidP="00F275CB">
      <w:pPr>
        <w:spacing w:after="0"/>
        <w:rPr>
          <w:rFonts w:ascii="ArialMT" w:hAnsi="ArialMT" w:cs="ArialMT"/>
          <w:szCs w:val="20"/>
          <w:lang w:eastAsia="en-GB"/>
        </w:rPr>
      </w:pPr>
    </w:p>
    <w:p w14:paraId="72EB796A" w14:textId="77777777" w:rsidR="00F275CB" w:rsidRPr="00F275CB" w:rsidRDefault="00F275CB" w:rsidP="00F275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  <w:lang w:eastAsia="en-GB"/>
        </w:rPr>
      </w:pPr>
      <w:r w:rsidRPr="00F275CB">
        <w:rPr>
          <w:rFonts w:ascii="ArialMT" w:hAnsi="ArialMT" w:cs="ArialMT"/>
          <w:szCs w:val="20"/>
          <w:lang w:eastAsia="en-GB"/>
        </w:rPr>
        <w:t>If a complaint is not closed within 8 weeks, we notify customers of their right to contact the</w:t>
      </w:r>
    </w:p>
    <w:p w14:paraId="4E9DBA44" w14:textId="77777777" w:rsidR="00F275CB" w:rsidRPr="00F275CB" w:rsidRDefault="00F275CB" w:rsidP="00F275CB">
      <w:pPr>
        <w:spacing w:after="0"/>
        <w:rPr>
          <w:b/>
          <w:sz w:val="28"/>
        </w:rPr>
      </w:pPr>
      <w:r w:rsidRPr="00F275CB">
        <w:rPr>
          <w:rFonts w:ascii="ArialMT" w:hAnsi="ArialMT" w:cs="ArialMT"/>
          <w:szCs w:val="20"/>
          <w:lang w:eastAsia="en-GB"/>
        </w:rPr>
        <w:t>Financial Ombudsman Service (FOS) for independent arbitration.</w:t>
      </w:r>
    </w:p>
    <w:sectPr w:rsidR="00F275CB" w:rsidRPr="00F275CB" w:rsidSect="00B21F88">
      <w:headerReference w:type="default" r:id="rId7"/>
      <w:pgSz w:w="11906" w:h="16838" w:code="9"/>
      <w:pgMar w:top="34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B7EB" w14:textId="77777777" w:rsidR="00416497" w:rsidRDefault="00416497" w:rsidP="002A54E6">
      <w:pPr>
        <w:spacing w:after="0" w:line="240" w:lineRule="auto"/>
      </w:pPr>
      <w:r>
        <w:separator/>
      </w:r>
    </w:p>
  </w:endnote>
  <w:endnote w:type="continuationSeparator" w:id="0">
    <w:p w14:paraId="5D5DA1FF" w14:textId="77777777" w:rsidR="00416497" w:rsidRDefault="00416497" w:rsidP="002A5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9CB2" w14:textId="77777777" w:rsidR="00416497" w:rsidRDefault="00416497" w:rsidP="002A54E6">
      <w:pPr>
        <w:spacing w:after="0" w:line="240" w:lineRule="auto"/>
      </w:pPr>
      <w:r>
        <w:separator/>
      </w:r>
    </w:p>
  </w:footnote>
  <w:footnote w:type="continuationSeparator" w:id="0">
    <w:p w14:paraId="1F5AE8CB" w14:textId="77777777" w:rsidR="00416497" w:rsidRDefault="00416497" w:rsidP="002A5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9BA5" w14:textId="77777777" w:rsidR="002A54E6" w:rsidRDefault="000812F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02D0350" wp14:editId="79E4EA0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0310" cy="1069213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71BD05" w14:textId="77777777" w:rsidR="002A54E6" w:rsidRDefault="002A5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4E02"/>
    <w:multiLevelType w:val="hybridMultilevel"/>
    <w:tmpl w:val="E3A27200"/>
    <w:lvl w:ilvl="0" w:tplc="AF701262">
      <w:start w:val="1"/>
      <w:numFmt w:val="decimal"/>
      <w:pStyle w:val="NumberedBodyText"/>
      <w:lvlText w:val="%1)"/>
      <w:lvlJc w:val="left"/>
      <w:pPr>
        <w:ind w:left="715" w:hanging="360"/>
      </w:pPr>
    </w:lvl>
    <w:lvl w:ilvl="1" w:tplc="870C7378" w:tentative="1">
      <w:start w:val="1"/>
      <w:numFmt w:val="lowerLetter"/>
      <w:lvlText w:val="%2."/>
      <w:lvlJc w:val="left"/>
      <w:pPr>
        <w:ind w:left="1435" w:hanging="360"/>
      </w:pPr>
    </w:lvl>
    <w:lvl w:ilvl="2" w:tplc="5BF8B6D4" w:tentative="1">
      <w:start w:val="1"/>
      <w:numFmt w:val="lowerRoman"/>
      <w:lvlText w:val="%3."/>
      <w:lvlJc w:val="right"/>
      <w:pPr>
        <w:ind w:left="2155" w:hanging="180"/>
      </w:pPr>
    </w:lvl>
    <w:lvl w:ilvl="3" w:tplc="54DE5E14" w:tentative="1">
      <w:start w:val="1"/>
      <w:numFmt w:val="decimal"/>
      <w:lvlText w:val="%4."/>
      <w:lvlJc w:val="left"/>
      <w:pPr>
        <w:ind w:left="2875" w:hanging="360"/>
      </w:pPr>
    </w:lvl>
    <w:lvl w:ilvl="4" w:tplc="99362F92" w:tentative="1">
      <w:start w:val="1"/>
      <w:numFmt w:val="lowerLetter"/>
      <w:lvlText w:val="%5."/>
      <w:lvlJc w:val="left"/>
      <w:pPr>
        <w:ind w:left="3595" w:hanging="360"/>
      </w:pPr>
    </w:lvl>
    <w:lvl w:ilvl="5" w:tplc="49383FE0" w:tentative="1">
      <w:start w:val="1"/>
      <w:numFmt w:val="lowerRoman"/>
      <w:lvlText w:val="%6."/>
      <w:lvlJc w:val="right"/>
      <w:pPr>
        <w:ind w:left="4315" w:hanging="180"/>
      </w:pPr>
    </w:lvl>
    <w:lvl w:ilvl="6" w:tplc="00B22B02" w:tentative="1">
      <w:start w:val="1"/>
      <w:numFmt w:val="decimal"/>
      <w:lvlText w:val="%7."/>
      <w:lvlJc w:val="left"/>
      <w:pPr>
        <w:ind w:left="5035" w:hanging="360"/>
      </w:pPr>
    </w:lvl>
    <w:lvl w:ilvl="7" w:tplc="6720D824" w:tentative="1">
      <w:start w:val="1"/>
      <w:numFmt w:val="lowerLetter"/>
      <w:lvlText w:val="%8."/>
      <w:lvlJc w:val="left"/>
      <w:pPr>
        <w:ind w:left="5755" w:hanging="360"/>
      </w:pPr>
    </w:lvl>
    <w:lvl w:ilvl="8" w:tplc="806E8698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2C"/>
    <w:rsid w:val="00000268"/>
    <w:rsid w:val="000176F1"/>
    <w:rsid w:val="00025CCB"/>
    <w:rsid w:val="00056A24"/>
    <w:rsid w:val="000812F6"/>
    <w:rsid w:val="00183B28"/>
    <w:rsid w:val="001E2EF1"/>
    <w:rsid w:val="001F4A9E"/>
    <w:rsid w:val="001F615F"/>
    <w:rsid w:val="00235A9F"/>
    <w:rsid w:val="002739B4"/>
    <w:rsid w:val="002A54E6"/>
    <w:rsid w:val="0031431D"/>
    <w:rsid w:val="003909F7"/>
    <w:rsid w:val="00416497"/>
    <w:rsid w:val="00556664"/>
    <w:rsid w:val="00631F10"/>
    <w:rsid w:val="006E77EA"/>
    <w:rsid w:val="00734FC3"/>
    <w:rsid w:val="007D6C15"/>
    <w:rsid w:val="00837AA9"/>
    <w:rsid w:val="008946E9"/>
    <w:rsid w:val="00903B44"/>
    <w:rsid w:val="00950DD8"/>
    <w:rsid w:val="00A0486C"/>
    <w:rsid w:val="00A82222"/>
    <w:rsid w:val="00A854E1"/>
    <w:rsid w:val="00AC0615"/>
    <w:rsid w:val="00B21F88"/>
    <w:rsid w:val="00C5132C"/>
    <w:rsid w:val="00CB5268"/>
    <w:rsid w:val="00D63A6A"/>
    <w:rsid w:val="00D95F79"/>
    <w:rsid w:val="00DA3619"/>
    <w:rsid w:val="00E16BC1"/>
    <w:rsid w:val="00E21DB4"/>
    <w:rsid w:val="00E67599"/>
    <w:rsid w:val="00EB6C70"/>
    <w:rsid w:val="00F23F94"/>
    <w:rsid w:val="00F275CB"/>
    <w:rsid w:val="00F706A7"/>
    <w:rsid w:val="00F711D4"/>
    <w:rsid w:val="00F9456B"/>
    <w:rsid w:val="00FA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426015"/>
  <w15:chartTrackingRefBased/>
  <w15:docId w15:val="{79403B71-DC1E-4AB2-B50F-472412B3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F4A9E"/>
    <w:pPr>
      <w:spacing w:before="120" w:after="120" w:line="240" w:lineRule="auto"/>
      <w:contextualSpacing/>
    </w:pPr>
    <w:rPr>
      <w:rFonts w:ascii="Arial" w:eastAsia="Times New Roman" w:hAnsi="Arial"/>
      <w:b/>
      <w:color w:val="0E6CDD"/>
      <w:spacing w:val="-10"/>
      <w:sz w:val="40"/>
      <w:szCs w:val="56"/>
    </w:rPr>
  </w:style>
  <w:style w:type="character" w:customStyle="1" w:styleId="TitleChar">
    <w:name w:val="Title Char"/>
    <w:link w:val="Title"/>
    <w:uiPriority w:val="10"/>
    <w:rsid w:val="001F4A9E"/>
    <w:rPr>
      <w:rFonts w:ascii="Arial" w:eastAsia="Times New Roman" w:hAnsi="Arial" w:cs="Times New Roman"/>
      <w:b/>
      <w:color w:val="0E6CDD"/>
      <w:spacing w:val="-10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A9E"/>
    <w:pPr>
      <w:numPr>
        <w:ilvl w:val="1"/>
      </w:numPr>
      <w:spacing w:before="120" w:after="120" w:line="276" w:lineRule="auto"/>
    </w:pPr>
    <w:rPr>
      <w:rFonts w:ascii="Arial" w:eastAsia="Times New Roman" w:hAnsi="Arial"/>
      <w:b/>
      <w:sz w:val="24"/>
      <w:szCs w:val="24"/>
    </w:rPr>
  </w:style>
  <w:style w:type="character" w:customStyle="1" w:styleId="SubtitleChar">
    <w:name w:val="Subtitle Char"/>
    <w:link w:val="Subtitle"/>
    <w:uiPriority w:val="11"/>
    <w:rsid w:val="001F4A9E"/>
    <w:rPr>
      <w:rFonts w:ascii="Arial" w:eastAsia="Times New Roman" w:hAnsi="Arial" w:cs="Times New Roman"/>
      <w:b/>
      <w:sz w:val="24"/>
      <w:szCs w:val="24"/>
    </w:rPr>
  </w:style>
  <w:style w:type="paragraph" w:customStyle="1" w:styleId="Body">
    <w:name w:val="Body"/>
    <w:autoRedefine/>
    <w:rsid w:val="001F4A9E"/>
    <w:pPr>
      <w:spacing w:before="240" w:after="240" w:line="276" w:lineRule="auto"/>
    </w:pPr>
    <w:rPr>
      <w:rFonts w:ascii="Arial" w:hAnsi="Arial" w:cs="Arial"/>
      <w:color w:val="000000"/>
      <w:szCs w:val="22"/>
      <w:u w:color="000000"/>
      <w:lang w:val="en-US"/>
    </w:rPr>
  </w:style>
  <w:style w:type="paragraph" w:customStyle="1" w:styleId="NumberedBodyText">
    <w:name w:val="Numbered Body Text"/>
    <w:rsid w:val="001F4A9E"/>
    <w:pPr>
      <w:numPr>
        <w:numId w:val="1"/>
      </w:numPr>
      <w:spacing w:before="120" w:after="240" w:line="264" w:lineRule="auto"/>
    </w:pPr>
    <w:rPr>
      <w:rFonts w:ascii="Arial" w:eastAsia="Times New Roman" w:hAnsi="Arial" w:cs="Arial"/>
      <w:color w:val="000000"/>
      <w:lang w:eastAsia="en-US"/>
    </w:rPr>
  </w:style>
  <w:style w:type="paragraph" w:customStyle="1" w:styleId="BodyCopyBold">
    <w:name w:val="Body Copy Bold"/>
    <w:next w:val="Body"/>
    <w:autoRedefine/>
    <w:rsid w:val="001F4A9E"/>
    <w:pPr>
      <w:spacing w:before="240" w:after="240" w:line="276" w:lineRule="auto"/>
    </w:pPr>
    <w:rPr>
      <w:rFonts w:ascii="Arial" w:eastAsia="Times New Roman" w:hAnsi="Arial" w:cs="Arial"/>
      <w:b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6"/>
  </w:style>
  <w:style w:type="paragraph" w:styleId="Footer">
    <w:name w:val="footer"/>
    <w:basedOn w:val="Normal"/>
    <w:link w:val="FooterChar"/>
    <w:uiPriority w:val="99"/>
    <w:unhideWhenUsed/>
    <w:rsid w:val="002A5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.bartlett\AppData\Local\Temp\Eldebridge%20Complaints%20Reporting%20-%20October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Eldebridge Complaints Reporting - October 2017.dot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Target Group Ltd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Bartlett</dc:creator>
  <cp:keywords/>
  <cp:lastModifiedBy>Nick Simcock</cp:lastModifiedBy>
  <cp:revision>4</cp:revision>
  <cp:lastPrinted>2017-07-28T11:48:00Z</cp:lastPrinted>
  <dcterms:created xsi:type="dcterms:W3CDTF">2020-05-14T16:54:00Z</dcterms:created>
  <dcterms:modified xsi:type="dcterms:W3CDTF">2020-05-15T13:05:00Z</dcterms:modified>
</cp:coreProperties>
</file>